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89D5" w14:textId="0A10E6D9" w:rsidR="00972405" w:rsidRDefault="00972405" w:rsidP="00D5567C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u w:val="single"/>
          <w:lang w:val="en-AU"/>
        </w:rPr>
      </w:pPr>
    </w:p>
    <w:p w14:paraId="68824266" w14:textId="19CBE276" w:rsidR="00A028EE" w:rsidRDefault="00A028EE" w:rsidP="00D5567C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u w:val="single"/>
          <w:lang w:val="en-AU"/>
        </w:rPr>
      </w:pPr>
    </w:p>
    <w:p w14:paraId="575D07DC" w14:textId="77777777" w:rsidR="00A028EE" w:rsidRDefault="00A028EE" w:rsidP="00D5567C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lang w:val="en-AU"/>
        </w:rPr>
      </w:pPr>
    </w:p>
    <w:p w14:paraId="49D6364F" w14:textId="1301163A" w:rsidR="00A028EE" w:rsidRDefault="00A028EE" w:rsidP="00D5567C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lang w:val="en-AU"/>
        </w:rPr>
      </w:pPr>
    </w:p>
    <w:p w14:paraId="566C29BA" w14:textId="26C0FFD2" w:rsidR="00A028EE" w:rsidRDefault="00753F50" w:rsidP="00D5567C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Disability &amp; Accessibility</w:t>
      </w:r>
      <w:r w:rsidR="008F6422">
        <w:rPr>
          <w:rFonts w:asciiTheme="majorHAnsi" w:hAnsiTheme="majorHAnsi"/>
          <w:b/>
          <w:sz w:val="40"/>
          <w:lang w:val="en-AU"/>
        </w:rPr>
        <w:t xml:space="preserve"> Policy</w:t>
      </w:r>
    </w:p>
    <w:p w14:paraId="57CF358C" w14:textId="6FA29F8A" w:rsidR="008F6422" w:rsidRDefault="008F6422" w:rsidP="00D5567C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One Woman Project</w:t>
      </w:r>
    </w:p>
    <w:p w14:paraId="3C8C78D9" w14:textId="425A5F8C" w:rsidR="008F6422" w:rsidRDefault="008F6422" w:rsidP="00D5567C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2020-2025</w:t>
      </w:r>
    </w:p>
    <w:p w14:paraId="36A33995" w14:textId="5D259679" w:rsidR="00A028EE" w:rsidRDefault="008B6AA4" w:rsidP="008B6AA4">
      <w:pPr>
        <w:tabs>
          <w:tab w:val="left" w:pos="3210"/>
        </w:tabs>
        <w:spacing w:after="0" w:line="240" w:lineRule="auto"/>
        <w:contextualSpacing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ab/>
      </w:r>
    </w:p>
    <w:p w14:paraId="1EA78CF9" w14:textId="1CF0577A" w:rsidR="00A028EE" w:rsidRDefault="00A028EE" w:rsidP="00D5567C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</w:p>
    <w:p w14:paraId="0B1E4536" w14:textId="2BBE6A91" w:rsidR="00E577A6" w:rsidRDefault="008B6AA4" w:rsidP="00D5567C">
      <w:pPr>
        <w:spacing w:after="0" w:line="240" w:lineRule="auto"/>
        <w:contextualSpacing/>
        <w:jc w:val="right"/>
        <w:rPr>
          <w:rFonts w:asciiTheme="majorHAnsi" w:hAnsiTheme="majorHAnsi"/>
          <w:sz w:val="32"/>
          <w:lang w:val="en-AU"/>
        </w:rPr>
      </w:pPr>
      <w:r w:rsidRPr="00A028EE">
        <w:rPr>
          <w:rFonts w:asciiTheme="majorHAnsi" w:hAnsiTheme="majorHAnsi"/>
          <w:b/>
          <w:noProof/>
          <w:sz w:val="40"/>
          <w:u w:val="single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08C1752" wp14:editId="7A218CCE">
            <wp:simplePos x="0" y="0"/>
            <wp:positionH relativeFrom="page">
              <wp:posOffset>-3570099</wp:posOffset>
            </wp:positionH>
            <wp:positionV relativeFrom="paragraph">
              <wp:posOffset>533717</wp:posOffset>
            </wp:positionV>
            <wp:extent cx="11136630" cy="6983095"/>
            <wp:effectExtent l="0" t="0" r="0" b="0"/>
            <wp:wrapNone/>
            <wp:docPr id="1" name="Shap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Shape 197"/>
                    <pic:cNvPicPr preferRelativeResize="0"/>
                  </pic:nvPicPr>
                  <pic:blipFill rotWithShape="1"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6814243">
                      <a:off x="0" y="0"/>
                      <a:ext cx="11136630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422">
        <w:rPr>
          <w:rFonts w:asciiTheme="majorHAnsi" w:hAnsiTheme="majorHAnsi"/>
          <w:b/>
          <w:sz w:val="32"/>
          <w:lang w:val="en-AU"/>
        </w:rPr>
        <w:t>Last updated</w:t>
      </w:r>
      <w:r w:rsidR="00A028EE" w:rsidRPr="00E577A6">
        <w:rPr>
          <w:rFonts w:asciiTheme="majorHAnsi" w:hAnsiTheme="majorHAnsi"/>
          <w:b/>
          <w:sz w:val="32"/>
          <w:lang w:val="en-AU"/>
        </w:rPr>
        <w:t xml:space="preserve"> by: </w:t>
      </w:r>
      <w:r w:rsidR="00986B9C">
        <w:rPr>
          <w:rFonts w:asciiTheme="majorHAnsi" w:hAnsiTheme="majorHAnsi"/>
          <w:sz w:val="32"/>
          <w:lang w:val="en-AU"/>
        </w:rPr>
        <w:t>Madeline Price, National Director</w:t>
      </w:r>
    </w:p>
    <w:p w14:paraId="24A4B83C" w14:textId="22C05A99" w:rsidR="00A028EE" w:rsidRPr="00E577A6" w:rsidRDefault="00E346D1" w:rsidP="00D5567C">
      <w:pPr>
        <w:spacing w:after="0" w:line="240" w:lineRule="auto"/>
        <w:contextualSpacing/>
        <w:jc w:val="right"/>
        <w:rPr>
          <w:rFonts w:asciiTheme="majorHAnsi" w:hAnsiTheme="majorHAnsi"/>
          <w:sz w:val="32"/>
          <w:lang w:val="en-AU"/>
        </w:rPr>
      </w:pPr>
      <w:r>
        <w:rPr>
          <w:rFonts w:asciiTheme="majorHAnsi" w:hAnsiTheme="majorHAnsi"/>
          <w:sz w:val="32"/>
          <w:lang w:val="en-AU"/>
        </w:rPr>
        <w:t>Thursday 3 December</w:t>
      </w:r>
      <w:r w:rsidR="00E073CB">
        <w:rPr>
          <w:rFonts w:asciiTheme="majorHAnsi" w:hAnsiTheme="majorHAnsi"/>
          <w:sz w:val="32"/>
          <w:lang w:val="en-AU"/>
        </w:rPr>
        <w:t>, 2020</w:t>
      </w:r>
    </w:p>
    <w:p w14:paraId="3B3E8E1D" w14:textId="41FADA42" w:rsidR="00972405" w:rsidRDefault="00972405" w:rsidP="00D5567C">
      <w:pPr>
        <w:spacing w:after="0" w:line="240" w:lineRule="auto"/>
        <w:contextualSpacing/>
        <w:jc w:val="right"/>
        <w:rPr>
          <w:rFonts w:asciiTheme="majorHAnsi" w:hAnsiTheme="majorHAnsi" w:cstheme="majorHAnsi"/>
          <w:u w:val="single"/>
          <w:lang w:val="en-AU"/>
        </w:rPr>
      </w:pPr>
    </w:p>
    <w:p w14:paraId="4F93E7CC" w14:textId="7830646F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7389E2AB" w14:textId="0BC9AD2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5303EAA9" w14:textId="584E3228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AE6FD6D" w14:textId="1A9510B9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3AF3FAE" w14:textId="552AD212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6C9F0E7" w14:textId="6C2BAB20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250E954" w14:textId="55141B59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7F6A0B61" w14:textId="2243979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161ACEAD" w14:textId="1D778862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0DB7E0A9" w14:textId="62326AB1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333E417" w14:textId="38C20D63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0788704D" w14:textId="1848EB9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08249AF" w14:textId="61518BE6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1070E1C8" w14:textId="5592665C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C6DB3CE" w14:textId="4797E49D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292A41C3" w14:textId="5529B0CD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3B7095F2" w14:textId="693526D9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37204D0A" w14:textId="6D385C49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26394CB0" w14:textId="7F3FD2A0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E804A65" w14:textId="2AB2F1B7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2DEFB7F9" w14:textId="607191AA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7FEE0829" w14:textId="69BC1231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F12C108" w14:textId="3D844AF0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173BBCEB" w14:textId="69CB542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3867E1F0" w14:textId="04538D82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14685520" w14:textId="0196562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3FDC8C6F" w14:textId="77777777" w:rsidR="00D5567C" w:rsidRDefault="00D5567C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  <w:lang w:val="en-AU"/>
        </w:rPr>
      </w:pPr>
    </w:p>
    <w:p w14:paraId="690CF5AE" w14:textId="728E23FE" w:rsidR="00C20D81" w:rsidRPr="003E6F61" w:rsidRDefault="00352E82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40"/>
          <w:u w:val="single"/>
          <w:lang w:val="en-AU"/>
        </w:rPr>
      </w:pPr>
      <w:r w:rsidRPr="003E6F61">
        <w:rPr>
          <w:rFonts w:asciiTheme="majorHAnsi" w:hAnsiTheme="majorHAnsi" w:cstheme="majorHAnsi"/>
          <w:b/>
          <w:sz w:val="40"/>
          <w:u w:val="single"/>
          <w:lang w:val="en-AU"/>
        </w:rPr>
        <w:lastRenderedPageBreak/>
        <w:t xml:space="preserve">1. </w:t>
      </w:r>
      <w:r w:rsidR="00A97C2C">
        <w:rPr>
          <w:rFonts w:asciiTheme="majorHAnsi" w:hAnsiTheme="majorHAnsi" w:cstheme="majorHAnsi"/>
          <w:b/>
          <w:sz w:val="40"/>
          <w:u w:val="single"/>
          <w:lang w:val="en-AU"/>
        </w:rPr>
        <w:t>Disability and Accessibility</w:t>
      </w:r>
      <w:r w:rsidR="008F6422" w:rsidRPr="003E6F61">
        <w:rPr>
          <w:rFonts w:asciiTheme="majorHAnsi" w:hAnsiTheme="majorHAnsi" w:cstheme="majorHAnsi"/>
          <w:b/>
          <w:sz w:val="40"/>
          <w:u w:val="single"/>
          <w:lang w:val="en-AU"/>
        </w:rPr>
        <w:t xml:space="preserve"> Policy</w:t>
      </w:r>
    </w:p>
    <w:p w14:paraId="1942D00A" w14:textId="77777777" w:rsidR="00352E82" w:rsidRPr="003E6F61" w:rsidRDefault="00352E82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14:paraId="014D9D2A" w14:textId="2D1BE7A5" w:rsidR="00B82523" w:rsidRPr="003E6F61" w:rsidRDefault="008F6422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32"/>
          <w:lang w:val="en-AU"/>
        </w:rPr>
      </w:pPr>
      <w:r w:rsidRPr="003E6F61">
        <w:rPr>
          <w:rFonts w:asciiTheme="majorHAnsi" w:hAnsiTheme="majorHAnsi" w:cstheme="majorHAnsi"/>
          <w:b/>
          <w:i/>
          <w:sz w:val="32"/>
          <w:lang w:val="en-AU"/>
        </w:rPr>
        <w:t>Introduction</w:t>
      </w:r>
    </w:p>
    <w:p w14:paraId="2B2BD9D5" w14:textId="77777777" w:rsidR="003E6F61" w:rsidRDefault="003E6F61" w:rsidP="003E6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bookmarkStart w:id="0" w:name="_GoBack"/>
      <w:bookmarkEnd w:id="0"/>
    </w:p>
    <w:p w14:paraId="661546C9" w14:textId="6E7C5508" w:rsidR="00DE5D54" w:rsidRPr="00795C2A" w:rsidRDefault="00795C2A" w:rsidP="00795C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This Disability and Accessibility Policy identifies the measures established within the One Woman Project to ensure our internal and external activities, workshops, meetings and communications are accessible to all. </w:t>
      </w:r>
    </w:p>
    <w:p w14:paraId="4C7C6B8E" w14:textId="77777777" w:rsidR="00E346D1" w:rsidRDefault="00E346D1" w:rsidP="003E6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14:paraId="7129F8E3" w14:textId="77777777" w:rsidR="003E6F61" w:rsidRDefault="003E6F61" w:rsidP="003E6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The organisation</w:t>
      </w:r>
      <w:r w:rsidRPr="003E6F61">
        <w:rPr>
          <w:rFonts w:asciiTheme="majorHAnsi" w:hAnsiTheme="majorHAnsi" w:cstheme="majorHAnsi"/>
          <w:lang w:val="en-AU"/>
        </w:rPr>
        <w:t xml:space="preserve"> may make alterations or additions to this policy from time to time. Should </w:t>
      </w:r>
      <w:r>
        <w:rPr>
          <w:rFonts w:asciiTheme="majorHAnsi" w:hAnsiTheme="majorHAnsi" w:cstheme="majorHAnsi"/>
          <w:lang w:val="en-AU"/>
        </w:rPr>
        <w:t>this be done, the organisation</w:t>
      </w:r>
      <w:r w:rsidRPr="003E6F61">
        <w:rPr>
          <w:rFonts w:asciiTheme="majorHAnsi" w:hAnsiTheme="majorHAnsi" w:cstheme="majorHAnsi"/>
          <w:lang w:val="en-AU"/>
        </w:rPr>
        <w:t xml:space="preserve"> will update the policy document on </w:t>
      </w:r>
      <w:r>
        <w:rPr>
          <w:rFonts w:asciiTheme="majorHAnsi" w:hAnsiTheme="majorHAnsi" w:cstheme="majorHAnsi"/>
          <w:lang w:val="en-AU"/>
        </w:rPr>
        <w:t>the One Woman Project</w:t>
      </w:r>
      <w:r w:rsidRPr="003E6F61">
        <w:rPr>
          <w:rFonts w:asciiTheme="majorHAnsi" w:hAnsiTheme="majorHAnsi" w:cstheme="majorHAnsi"/>
          <w:lang w:val="en-AU"/>
        </w:rPr>
        <w:t xml:space="preserve"> web site</w:t>
      </w:r>
      <w:r>
        <w:rPr>
          <w:rFonts w:asciiTheme="majorHAnsi" w:hAnsiTheme="majorHAnsi" w:cstheme="majorHAnsi"/>
          <w:lang w:val="en-AU"/>
        </w:rPr>
        <w:t>.</w:t>
      </w:r>
    </w:p>
    <w:p w14:paraId="5268EEAE" w14:textId="77777777" w:rsidR="003E6F61" w:rsidRDefault="003E6F61" w:rsidP="003E6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14:paraId="6F04CBD4" w14:textId="6C4B9E60" w:rsidR="008F6422" w:rsidRPr="00A861B5" w:rsidRDefault="008F6422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32"/>
          <w:lang w:val="en-AU"/>
        </w:rPr>
      </w:pPr>
      <w:r w:rsidRPr="00A861B5">
        <w:rPr>
          <w:rFonts w:asciiTheme="majorHAnsi" w:hAnsiTheme="majorHAnsi" w:cstheme="majorHAnsi"/>
          <w:b/>
          <w:i/>
          <w:sz w:val="32"/>
          <w:lang w:val="en-AU"/>
        </w:rPr>
        <w:t>Policy</w:t>
      </w:r>
    </w:p>
    <w:p w14:paraId="55E4A107" w14:textId="77777777" w:rsidR="00A861B5" w:rsidRDefault="00A861B5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</w:p>
    <w:p w14:paraId="391C0BF5" w14:textId="644DAB0E" w:rsidR="0003253E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>Accessible Online Events</w:t>
      </w:r>
    </w:p>
    <w:p w14:paraId="12A835F8" w14:textId="5CDD7B35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37CC7C31" w14:textId="7F7EC3FC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When planning online events, the One Woman Project is committed to:</w:t>
      </w:r>
    </w:p>
    <w:p w14:paraId="3D3197C1" w14:textId="3643027E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43C36C06" w14:textId="33B522E7" w:rsidR="00BC7BB5" w:rsidRDefault="003F0C7D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accessibility is factored into risk management and emergency planning for all events; </w:t>
      </w:r>
    </w:p>
    <w:p w14:paraId="4708C458" w14:textId="79251289" w:rsidR="003F0C7D" w:rsidRDefault="003A169B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captions and text-based transcripts for online events; </w:t>
      </w:r>
    </w:p>
    <w:p w14:paraId="1E451233" w14:textId="0B2E6E3F" w:rsidR="003A169B" w:rsidRDefault="003A169B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 clear accessibility statement (including all accommodations) in the ticketing link; </w:t>
      </w:r>
    </w:p>
    <w:p w14:paraId="41FAFA92" w14:textId="77777777" w:rsidR="003A169B" w:rsidRDefault="003A169B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at least one auxiliary aid is provided to all participants, including one (or more) of the following: Australian Sign Language interpreter; assistive listening devices; open or closed captioning services; verbatim print materials and/or </w:t>
      </w:r>
      <w:proofErr w:type="spellStart"/>
      <w:r>
        <w:rPr>
          <w:rFonts w:asciiTheme="majorHAnsi" w:hAnsiTheme="majorHAnsi" w:cstheme="majorHAnsi"/>
          <w:lang w:val="en-AU"/>
        </w:rPr>
        <w:t>notetakers</w:t>
      </w:r>
      <w:proofErr w:type="spellEnd"/>
      <w:r>
        <w:rPr>
          <w:rFonts w:asciiTheme="majorHAnsi" w:hAnsiTheme="majorHAnsi" w:cstheme="majorHAnsi"/>
          <w:lang w:val="en-AU"/>
        </w:rPr>
        <w:t xml:space="preserve">; </w:t>
      </w:r>
    </w:p>
    <w:p w14:paraId="0F4825C1" w14:textId="745E0A82" w:rsidR="003A169B" w:rsidRDefault="003A169B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print on </w:t>
      </w:r>
      <w:proofErr w:type="spellStart"/>
      <w:r>
        <w:rPr>
          <w:rFonts w:asciiTheme="majorHAnsi" w:hAnsiTheme="majorHAnsi" w:cstheme="majorHAnsi"/>
          <w:lang w:val="en-AU"/>
        </w:rPr>
        <w:t>powerpoint</w:t>
      </w:r>
      <w:proofErr w:type="spellEnd"/>
      <w:r>
        <w:rPr>
          <w:rFonts w:asciiTheme="majorHAnsi" w:hAnsiTheme="majorHAnsi" w:cstheme="majorHAnsi"/>
          <w:lang w:val="en-AU"/>
        </w:rPr>
        <w:t xml:space="preserve"> slides is at least 11 point font size and is of a clear, readable font style; </w:t>
      </w:r>
    </w:p>
    <w:p w14:paraId="56C623DF" w14:textId="09B099AB" w:rsidR="001465D5" w:rsidRDefault="001465D5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 PDF of the slides and plain text word document version of the slides (and other resources) in advance of the event;  </w:t>
      </w:r>
    </w:p>
    <w:p w14:paraId="14702128" w14:textId="74030BC2" w:rsidR="003A169B" w:rsidRDefault="004B29F9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Ensuring moderators and facilitators at the commencement of events provide a visual clue as to what participants can see on the screen (</w:t>
      </w:r>
      <w:proofErr w:type="spellStart"/>
      <w:r>
        <w:rPr>
          <w:rFonts w:asciiTheme="majorHAnsi" w:hAnsiTheme="majorHAnsi" w:cstheme="majorHAnsi"/>
          <w:lang w:val="en-AU"/>
        </w:rPr>
        <w:t>ie</w:t>
      </w:r>
      <w:proofErr w:type="spellEnd"/>
      <w:r>
        <w:rPr>
          <w:rFonts w:asciiTheme="majorHAnsi" w:hAnsiTheme="majorHAnsi" w:cstheme="majorHAnsi"/>
          <w:lang w:val="en-AU"/>
        </w:rPr>
        <w:t xml:space="preserve">; an audio description of the speaker/facilitator); </w:t>
      </w:r>
    </w:p>
    <w:p w14:paraId="72A7C0D8" w14:textId="710B6314" w:rsidR="004B29F9" w:rsidRDefault="00197231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Allowing all individuals to nominate any accommodations they require during the ticketing process; </w:t>
      </w:r>
    </w:p>
    <w:p w14:paraId="5CE4FB90" w14:textId="7523CF60" w:rsidR="00197231" w:rsidRDefault="00197231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there are multiple ways to register for all events, including: via email, online ticketing registration and via phone; </w:t>
      </w:r>
    </w:p>
    <w:p w14:paraId="79D79E3E" w14:textId="1C3FBAD8" w:rsidR="0067372C" w:rsidRDefault="0067372C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 captioned recording of the event within one week of conclusion; </w:t>
      </w:r>
    </w:p>
    <w:p w14:paraId="5C822455" w14:textId="15A0A1AA" w:rsidR="00197231" w:rsidRDefault="00953600" w:rsidP="00BC7BB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the free registration of a companion for all individuals requiring accessibility, social or health support; </w:t>
      </w:r>
      <w:r w:rsidR="0067372C">
        <w:rPr>
          <w:rFonts w:asciiTheme="majorHAnsi" w:hAnsiTheme="majorHAnsi" w:cstheme="majorHAnsi"/>
          <w:lang w:val="en-AU"/>
        </w:rPr>
        <w:t>and</w:t>
      </w:r>
    </w:p>
    <w:p w14:paraId="17A22056" w14:textId="07F24A94" w:rsidR="00053958" w:rsidRPr="0067372C" w:rsidRDefault="00053958" w:rsidP="0067372C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all </w:t>
      </w:r>
      <w:proofErr w:type="spellStart"/>
      <w:proofErr w:type="gramStart"/>
      <w:r>
        <w:rPr>
          <w:rFonts w:asciiTheme="majorHAnsi" w:hAnsiTheme="majorHAnsi" w:cstheme="majorHAnsi"/>
          <w:lang w:val="en-AU"/>
        </w:rPr>
        <w:t>powerpoint</w:t>
      </w:r>
      <w:proofErr w:type="spellEnd"/>
      <w:proofErr w:type="gramEnd"/>
      <w:r>
        <w:rPr>
          <w:rFonts w:asciiTheme="majorHAnsi" w:hAnsiTheme="majorHAnsi" w:cstheme="majorHAnsi"/>
          <w:lang w:val="en-AU"/>
        </w:rPr>
        <w:t xml:space="preserve"> slides are run through </w:t>
      </w:r>
      <w:r>
        <w:rPr>
          <w:rFonts w:asciiTheme="majorHAnsi" w:hAnsiTheme="majorHAnsi" w:cstheme="majorHAnsi"/>
          <w:i/>
          <w:lang w:val="en-AU"/>
        </w:rPr>
        <w:t xml:space="preserve">Microsoft </w:t>
      </w:r>
      <w:proofErr w:type="spellStart"/>
      <w:r>
        <w:rPr>
          <w:rFonts w:asciiTheme="majorHAnsi" w:hAnsiTheme="majorHAnsi" w:cstheme="majorHAnsi"/>
          <w:i/>
          <w:lang w:val="en-AU"/>
        </w:rPr>
        <w:t>Powerpoint’s</w:t>
      </w:r>
      <w:proofErr w:type="spellEnd"/>
      <w:r>
        <w:rPr>
          <w:rFonts w:asciiTheme="majorHAnsi" w:hAnsiTheme="majorHAnsi" w:cstheme="majorHAnsi"/>
          <w:i/>
          <w:lang w:val="en-AU"/>
        </w:rPr>
        <w:t xml:space="preserve"> Accessibility Checker</w:t>
      </w:r>
      <w:r w:rsidR="0067372C">
        <w:rPr>
          <w:rFonts w:asciiTheme="majorHAnsi" w:hAnsiTheme="majorHAnsi" w:cstheme="majorHAnsi"/>
          <w:lang w:val="en-AU"/>
        </w:rPr>
        <w:t xml:space="preserve"> prior to distribution. </w:t>
      </w:r>
    </w:p>
    <w:p w14:paraId="060EDC24" w14:textId="77777777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7B4921DD" w14:textId="109D33F2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The One Woman Project acknowledges that:</w:t>
      </w:r>
    </w:p>
    <w:p w14:paraId="79DE78FE" w14:textId="66D49D4F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05A3D56A" w14:textId="084F95D6" w:rsidR="00BC7BB5" w:rsidRDefault="00BC7BB5" w:rsidP="00BC7BB5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Online activities and events should be made accessible in the first instance, without individuals having to request accommodations, reflecting that those with a permanent disability may be aware of what they require for meaningful participation, whereas those with a temporary disability may not know how to request accommodations; </w:t>
      </w:r>
      <w:r w:rsidR="0060353E">
        <w:rPr>
          <w:rFonts w:asciiTheme="majorHAnsi" w:hAnsiTheme="majorHAnsi" w:cstheme="majorHAnsi"/>
          <w:lang w:val="en-AU"/>
        </w:rPr>
        <w:t>and</w:t>
      </w:r>
    </w:p>
    <w:p w14:paraId="2FFA8007" w14:textId="318CF9FB" w:rsidR="003F0C7D" w:rsidRPr="0060353E" w:rsidRDefault="003F0C7D" w:rsidP="0060353E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lastRenderedPageBreak/>
        <w:t xml:space="preserve">Proof of disability or the reasons for accessibility </w:t>
      </w:r>
      <w:r w:rsidR="0060353E">
        <w:rPr>
          <w:rFonts w:asciiTheme="majorHAnsi" w:hAnsiTheme="majorHAnsi" w:cstheme="majorHAnsi"/>
          <w:lang w:val="en-AU"/>
        </w:rPr>
        <w:t xml:space="preserve">accommodations is not required. </w:t>
      </w:r>
    </w:p>
    <w:p w14:paraId="3B1FB6A8" w14:textId="77777777" w:rsidR="00BC7BB5" w:rsidRP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44268E5D" w14:textId="143CBE2F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>Accessible Offline Events</w:t>
      </w:r>
    </w:p>
    <w:p w14:paraId="7958CE10" w14:textId="6D0FB19E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</w:p>
    <w:p w14:paraId="2AA21194" w14:textId="2CD09668" w:rsidR="003F0C7D" w:rsidRDefault="003F0C7D" w:rsidP="003F0C7D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When planning events, the One Woman Project is committed to:</w:t>
      </w:r>
    </w:p>
    <w:p w14:paraId="26892865" w14:textId="77777777" w:rsidR="003F0C7D" w:rsidRDefault="003F0C7D" w:rsidP="003F0C7D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76DF650F" w14:textId="77777777" w:rsidR="003F0C7D" w:rsidRDefault="003F0C7D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accessibility is factored into risk management and emergency planning for all events; </w:t>
      </w:r>
    </w:p>
    <w:p w14:paraId="0719C847" w14:textId="77777777" w:rsidR="003A169B" w:rsidRDefault="003A169B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 clear accessibility statement (including all accommodations) in the ticketing link; </w:t>
      </w:r>
    </w:p>
    <w:p w14:paraId="7334DD64" w14:textId="371068DB" w:rsidR="003F0C7D" w:rsidRDefault="003A169B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designated parking spaces and ensuring nearby public transport includes accessible options; </w:t>
      </w:r>
    </w:p>
    <w:p w14:paraId="0B936158" w14:textId="49423CB6" w:rsidR="003A169B" w:rsidRDefault="003A169B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building entrances for venues are wide enough for a wheelchair or scooter to pass through; </w:t>
      </w:r>
    </w:p>
    <w:p w14:paraId="0D1FF9F9" w14:textId="476BCC55" w:rsidR="003A169B" w:rsidRDefault="003A169B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Removing and reducing tripping and mobility hazards, including: gates, grilles, carpets, gravel, loose flooring, </w:t>
      </w:r>
      <w:r w:rsidR="00EE4478">
        <w:rPr>
          <w:rFonts w:asciiTheme="majorHAnsi" w:hAnsiTheme="majorHAnsi" w:cstheme="majorHAnsi"/>
          <w:lang w:val="en-AU"/>
        </w:rPr>
        <w:t xml:space="preserve">and cables, </w:t>
      </w:r>
      <w:r>
        <w:rPr>
          <w:rFonts w:asciiTheme="majorHAnsi" w:hAnsiTheme="majorHAnsi" w:cstheme="majorHAnsi"/>
          <w:lang w:val="en-AU"/>
        </w:rPr>
        <w:t xml:space="preserve">among others; </w:t>
      </w:r>
    </w:p>
    <w:p w14:paraId="0E67A553" w14:textId="52ECDA3B" w:rsidR="003A169B" w:rsidRDefault="003A169B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Ensuring all tables and counters are low enough to accommodate people who use a wheelchair</w:t>
      </w:r>
      <w:r w:rsidR="00EE4478">
        <w:rPr>
          <w:rFonts w:asciiTheme="majorHAnsi" w:hAnsiTheme="majorHAnsi" w:cstheme="majorHAnsi"/>
          <w:lang w:val="en-AU"/>
        </w:rPr>
        <w:t xml:space="preserve"> or people of short stature</w:t>
      </w:r>
      <w:r>
        <w:rPr>
          <w:rFonts w:asciiTheme="majorHAnsi" w:hAnsiTheme="majorHAnsi" w:cstheme="majorHAnsi"/>
          <w:lang w:val="en-AU"/>
        </w:rPr>
        <w:t xml:space="preserve">; </w:t>
      </w:r>
    </w:p>
    <w:p w14:paraId="4F60C2E9" w14:textId="2AA6BE91" w:rsidR="003A169B" w:rsidRDefault="003A169B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 variety of seating styles and choice of locations through the venue, including, but not limited to: spacing for wheelchairs and mobility aids, soft seats, low chairs and chairs without solid armrests; </w:t>
      </w:r>
    </w:p>
    <w:p w14:paraId="7AE97176" w14:textId="546B9186" w:rsidR="003A169B" w:rsidRDefault="003A169B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at least one auxiliary aid is provided to all participants, including one (or more) of the following: Australian Sign Language interpreter; assistive listening devices; open or closed captioning services; verbatim print materials and/or </w:t>
      </w:r>
      <w:proofErr w:type="spellStart"/>
      <w:r>
        <w:rPr>
          <w:rFonts w:asciiTheme="majorHAnsi" w:hAnsiTheme="majorHAnsi" w:cstheme="majorHAnsi"/>
          <w:lang w:val="en-AU"/>
        </w:rPr>
        <w:t>notetakers</w:t>
      </w:r>
      <w:proofErr w:type="spellEnd"/>
      <w:r>
        <w:rPr>
          <w:rFonts w:asciiTheme="majorHAnsi" w:hAnsiTheme="majorHAnsi" w:cstheme="majorHAnsi"/>
          <w:lang w:val="en-AU"/>
        </w:rPr>
        <w:t xml:space="preserve">; </w:t>
      </w:r>
    </w:p>
    <w:p w14:paraId="39C0DA5B" w14:textId="1C2BCB95" w:rsidR="003A169B" w:rsidRDefault="003A169B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Ensuring all guest speakers and facilitators use microphones where attendance is above 20+ people;</w:t>
      </w:r>
    </w:p>
    <w:p w14:paraId="572DE087" w14:textId="4D2355A1" w:rsidR="003A169B" w:rsidRDefault="003A169B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all announcements made over a loud speaker are additionally delivered in text-based format; </w:t>
      </w:r>
    </w:p>
    <w:p w14:paraId="2D009680" w14:textId="77777777" w:rsidR="003A169B" w:rsidRDefault="003A169B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print on </w:t>
      </w:r>
      <w:proofErr w:type="spellStart"/>
      <w:r>
        <w:rPr>
          <w:rFonts w:asciiTheme="majorHAnsi" w:hAnsiTheme="majorHAnsi" w:cstheme="majorHAnsi"/>
          <w:lang w:val="en-AU"/>
        </w:rPr>
        <w:t>powerpoint</w:t>
      </w:r>
      <w:proofErr w:type="spellEnd"/>
      <w:r>
        <w:rPr>
          <w:rFonts w:asciiTheme="majorHAnsi" w:hAnsiTheme="majorHAnsi" w:cstheme="majorHAnsi"/>
          <w:lang w:val="en-AU"/>
        </w:rPr>
        <w:t xml:space="preserve"> slides is at least 11 point font size and is of a clear, readable font style; </w:t>
      </w:r>
    </w:p>
    <w:p w14:paraId="5F98ED75" w14:textId="7E193B81" w:rsidR="003A169B" w:rsidRDefault="003A169B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there is sufficient lighting available for people who may experience low vision; </w:t>
      </w:r>
    </w:p>
    <w:p w14:paraId="290CC4E4" w14:textId="2AF394CB" w:rsidR="003A169B" w:rsidRDefault="004B29F9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some handouts are </w:t>
      </w:r>
      <w:r w:rsidR="009B56E9">
        <w:rPr>
          <w:rFonts w:asciiTheme="majorHAnsi" w:hAnsiTheme="majorHAnsi" w:cstheme="majorHAnsi"/>
          <w:lang w:val="en-AU"/>
        </w:rPr>
        <w:t xml:space="preserve">made </w:t>
      </w:r>
      <w:r>
        <w:rPr>
          <w:rFonts w:asciiTheme="majorHAnsi" w:hAnsiTheme="majorHAnsi" w:cstheme="majorHAnsi"/>
          <w:lang w:val="en-AU"/>
        </w:rPr>
        <w:t xml:space="preserve">available for people with limited or low vision, in a minimum 16 point font size in sans serif fonts, avoiding all uppercase text and using gloss-free paper; </w:t>
      </w:r>
    </w:p>
    <w:p w14:paraId="3F3FB8C1" w14:textId="0A9FAD2B" w:rsidR="004B29F9" w:rsidRDefault="004B29F9" w:rsidP="004B29F9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Ensuring moderators and facilitators at the commencement of events provide a visual clue as to what participants can see (</w:t>
      </w:r>
      <w:proofErr w:type="spellStart"/>
      <w:r>
        <w:rPr>
          <w:rFonts w:asciiTheme="majorHAnsi" w:hAnsiTheme="majorHAnsi" w:cstheme="majorHAnsi"/>
          <w:lang w:val="en-AU"/>
        </w:rPr>
        <w:t>ie</w:t>
      </w:r>
      <w:proofErr w:type="spellEnd"/>
      <w:r>
        <w:rPr>
          <w:rFonts w:asciiTheme="majorHAnsi" w:hAnsiTheme="majorHAnsi" w:cstheme="majorHAnsi"/>
          <w:lang w:val="en-AU"/>
        </w:rPr>
        <w:t xml:space="preserve">; an audio description of the speaker/facilitator); </w:t>
      </w:r>
    </w:p>
    <w:p w14:paraId="0BA65D60" w14:textId="7E86C809" w:rsidR="004B29F9" w:rsidRDefault="004B29F9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Ensure all venues have access for a service dog, and available water, shade and grass; </w:t>
      </w:r>
    </w:p>
    <w:p w14:paraId="13B4FDA7" w14:textId="227DE263" w:rsidR="004B29F9" w:rsidRDefault="00197231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accessible bathrooms, and that multiple accessible bathrooms are provided; </w:t>
      </w:r>
    </w:p>
    <w:p w14:paraId="55CFA987" w14:textId="77777777" w:rsidR="00197231" w:rsidRDefault="00197231" w:rsidP="00197231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Allowing all individuals to nominate any accommodations they require during the ticketing process; </w:t>
      </w:r>
    </w:p>
    <w:p w14:paraId="5656FA07" w14:textId="77777777" w:rsidR="00197231" w:rsidRDefault="00197231" w:rsidP="00197231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there are multiple ways to register for all events, including: via email, online ticketing registration and via phone; </w:t>
      </w:r>
    </w:p>
    <w:p w14:paraId="5262B041" w14:textId="637CFD45" w:rsidR="00197231" w:rsidRDefault="00197231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all speakers/moderators provide a verbal explanation of the layout of the venue at the start of the event, including the layout of the room, directions to bathrooms, breakout rooms and fire exits; </w:t>
      </w:r>
    </w:p>
    <w:p w14:paraId="4D0D393A" w14:textId="51C84043" w:rsidR="00EE4478" w:rsidRDefault="00EE4478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 low-sensory room at all events; </w:t>
      </w:r>
    </w:p>
    <w:p w14:paraId="0A562BD3" w14:textId="24CABBEE" w:rsidR="00EE4478" w:rsidRDefault="002E6CDD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Avoiding strobe lighting and/or flashing lights; </w:t>
      </w:r>
    </w:p>
    <w:p w14:paraId="109870D5" w14:textId="53D07861" w:rsidR="002E6CDD" w:rsidRDefault="002E6CDD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 wheelchair ramp to the stage; </w:t>
      </w:r>
    </w:p>
    <w:p w14:paraId="7FA70D22" w14:textId="406FCE35" w:rsidR="002E6CDD" w:rsidRDefault="002E6CDD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adjustable height microphones and/or lapel microphones; </w:t>
      </w:r>
    </w:p>
    <w:p w14:paraId="467FD296" w14:textId="6092CC20" w:rsidR="002E6CDD" w:rsidRDefault="002E6CDD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lastRenderedPageBreak/>
        <w:t xml:space="preserve">Ensuring a hearing loop is available; </w:t>
      </w:r>
    </w:p>
    <w:p w14:paraId="0C3429DD" w14:textId="77777777" w:rsidR="00953600" w:rsidRPr="00BC7BB5" w:rsidRDefault="00953600" w:rsidP="0095360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the free registration of a companion for all individuals requiring accessibility, social or health support; </w:t>
      </w:r>
    </w:p>
    <w:p w14:paraId="7AADC8A7" w14:textId="368B3B93" w:rsidR="002E6CDD" w:rsidRDefault="00953600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Ensuring all offline events are additionally accessible in at least one online location (</w:t>
      </w:r>
      <w:proofErr w:type="spellStart"/>
      <w:r>
        <w:rPr>
          <w:rFonts w:asciiTheme="majorHAnsi" w:hAnsiTheme="majorHAnsi" w:cstheme="majorHAnsi"/>
          <w:lang w:val="en-AU"/>
        </w:rPr>
        <w:t>ie</w:t>
      </w:r>
      <w:proofErr w:type="spellEnd"/>
      <w:r>
        <w:rPr>
          <w:rFonts w:asciiTheme="majorHAnsi" w:hAnsiTheme="majorHAnsi" w:cstheme="majorHAnsi"/>
          <w:lang w:val="en-AU"/>
        </w:rPr>
        <w:t xml:space="preserve">; livestreaming, or through a recorded activity distributed after the event); </w:t>
      </w:r>
    </w:p>
    <w:p w14:paraId="167944C8" w14:textId="04D9C45E" w:rsidR="00053958" w:rsidRDefault="00053958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Ensuring all </w:t>
      </w:r>
      <w:proofErr w:type="spellStart"/>
      <w:r>
        <w:rPr>
          <w:rFonts w:asciiTheme="majorHAnsi" w:hAnsiTheme="majorHAnsi" w:cstheme="majorHAnsi"/>
          <w:lang w:val="en-AU"/>
        </w:rPr>
        <w:t>powerpoint</w:t>
      </w:r>
      <w:proofErr w:type="spellEnd"/>
      <w:r>
        <w:rPr>
          <w:rFonts w:asciiTheme="majorHAnsi" w:hAnsiTheme="majorHAnsi" w:cstheme="majorHAnsi"/>
          <w:lang w:val="en-AU"/>
        </w:rPr>
        <w:t xml:space="preserve"> slides are run through </w:t>
      </w:r>
      <w:r>
        <w:rPr>
          <w:rFonts w:asciiTheme="majorHAnsi" w:hAnsiTheme="majorHAnsi" w:cstheme="majorHAnsi"/>
          <w:i/>
          <w:lang w:val="en-AU"/>
        </w:rPr>
        <w:t xml:space="preserve">Microsoft </w:t>
      </w:r>
      <w:proofErr w:type="spellStart"/>
      <w:r>
        <w:rPr>
          <w:rFonts w:asciiTheme="majorHAnsi" w:hAnsiTheme="majorHAnsi" w:cstheme="majorHAnsi"/>
          <w:i/>
          <w:lang w:val="en-AU"/>
        </w:rPr>
        <w:t>Powerpoint’s</w:t>
      </w:r>
      <w:proofErr w:type="spellEnd"/>
      <w:r>
        <w:rPr>
          <w:rFonts w:asciiTheme="majorHAnsi" w:hAnsiTheme="majorHAnsi" w:cstheme="majorHAnsi"/>
          <w:i/>
          <w:lang w:val="en-AU"/>
        </w:rPr>
        <w:t xml:space="preserve"> Accessibility Checker</w:t>
      </w:r>
      <w:r>
        <w:rPr>
          <w:rFonts w:asciiTheme="majorHAnsi" w:hAnsiTheme="majorHAnsi" w:cstheme="majorHAnsi"/>
          <w:lang w:val="en-AU"/>
        </w:rPr>
        <w:t xml:space="preserve"> prior to distribution; </w:t>
      </w:r>
    </w:p>
    <w:p w14:paraId="1EDDEA55" w14:textId="24AD85D8" w:rsidR="0060353E" w:rsidRDefault="0060353E" w:rsidP="0060353E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Providing a captioned recording of the event within one week of conclusion; </w:t>
      </w:r>
      <w:r w:rsidR="008F7BEC">
        <w:rPr>
          <w:rFonts w:asciiTheme="majorHAnsi" w:hAnsiTheme="majorHAnsi" w:cstheme="majorHAnsi"/>
          <w:lang w:val="en-AU"/>
        </w:rPr>
        <w:t>and</w:t>
      </w:r>
    </w:p>
    <w:p w14:paraId="314EFDDA" w14:textId="5B968039" w:rsidR="00053958" w:rsidRPr="008F7BEC" w:rsidRDefault="0060353E" w:rsidP="008F7BEC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Providing a PDF of the slides and plain text word document version of the slides (and other resou</w:t>
      </w:r>
      <w:r w:rsidR="008F7BEC">
        <w:rPr>
          <w:rFonts w:asciiTheme="majorHAnsi" w:hAnsiTheme="majorHAnsi" w:cstheme="majorHAnsi"/>
          <w:lang w:val="en-AU"/>
        </w:rPr>
        <w:t>rces) in advance of the event.</w:t>
      </w:r>
    </w:p>
    <w:p w14:paraId="4E1E49BA" w14:textId="77777777" w:rsidR="003F0C7D" w:rsidRDefault="003F0C7D" w:rsidP="003F0C7D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7AFF3CE8" w14:textId="77777777" w:rsidR="003F0C7D" w:rsidRDefault="003F0C7D" w:rsidP="003F0C7D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The One Woman Project acknowledges that:</w:t>
      </w:r>
    </w:p>
    <w:p w14:paraId="0E1DF74F" w14:textId="2EA53D62" w:rsidR="003F0C7D" w:rsidRPr="003F0C7D" w:rsidRDefault="003F0C7D" w:rsidP="00786B23">
      <w:pPr>
        <w:spacing w:after="0" w:line="240" w:lineRule="auto"/>
        <w:contextualSpacing/>
        <w:rPr>
          <w:rFonts w:asciiTheme="majorHAnsi" w:hAnsiTheme="majorHAnsi" w:cstheme="majorHAnsi"/>
          <w:i/>
          <w:lang w:val="en-AU"/>
        </w:rPr>
      </w:pPr>
    </w:p>
    <w:p w14:paraId="6E6E81D2" w14:textId="53411C40" w:rsidR="003F0C7D" w:rsidRDefault="003F0C7D" w:rsidP="003F0C7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Offline</w:t>
      </w:r>
      <w:r>
        <w:rPr>
          <w:rFonts w:asciiTheme="majorHAnsi" w:hAnsiTheme="majorHAnsi" w:cstheme="majorHAnsi"/>
          <w:lang w:val="en-AU"/>
        </w:rPr>
        <w:t xml:space="preserve"> activities and events should be made accessible in the first instance, without individuals having to request accommodations, reflecting that those with a permanent disability may be aware of what they require for meaningful participation, whereas those with a temporary disability may not know how to request accommodations; </w:t>
      </w:r>
    </w:p>
    <w:p w14:paraId="20773E7E" w14:textId="0325063E" w:rsidR="003F0C7D" w:rsidRDefault="003F0C7D" w:rsidP="003F0C7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Proof of disability or the reasons for accessibility accommodations is not required; </w:t>
      </w:r>
    </w:p>
    <w:p w14:paraId="3E6D1FB6" w14:textId="65A46916" w:rsidR="003A169B" w:rsidRDefault="003A169B" w:rsidP="003F0C7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When planning for mobility, consideration must be given to more than just wheelchairs, including, but not limited to: scooters, walkers and canes; </w:t>
      </w:r>
      <w:r w:rsidR="008F7BEC">
        <w:rPr>
          <w:rFonts w:asciiTheme="majorHAnsi" w:hAnsiTheme="majorHAnsi" w:cstheme="majorHAnsi"/>
          <w:lang w:val="en-AU"/>
        </w:rPr>
        <w:t>and</w:t>
      </w:r>
    </w:p>
    <w:p w14:paraId="5EDA124D" w14:textId="4D5EE7B0" w:rsidR="003A169B" w:rsidRPr="008F7BEC" w:rsidRDefault="003A169B" w:rsidP="008F7BEC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Not all mobility challenges are solved by ramps, and portable lifts may provide bett</w:t>
      </w:r>
      <w:r w:rsidR="008F7BEC">
        <w:rPr>
          <w:rFonts w:asciiTheme="majorHAnsi" w:hAnsiTheme="majorHAnsi" w:cstheme="majorHAnsi"/>
          <w:lang w:val="en-AU"/>
        </w:rPr>
        <w:t xml:space="preserve">er access for some individuals. </w:t>
      </w:r>
    </w:p>
    <w:p w14:paraId="1430AE79" w14:textId="77777777" w:rsidR="003F0C7D" w:rsidRDefault="003F0C7D" w:rsidP="00786B23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</w:p>
    <w:p w14:paraId="40C480C5" w14:textId="6CA3A428" w:rsidR="00BC7BB5" w:rsidRDefault="00BC7BB5" w:rsidP="00786B23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 xml:space="preserve">Accessible Communications </w:t>
      </w:r>
    </w:p>
    <w:p w14:paraId="7F71A358" w14:textId="324D2DD2" w:rsidR="0003253E" w:rsidRDefault="0003253E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58E50D1D" w14:textId="08228B3A" w:rsidR="003F0C7D" w:rsidRDefault="003F0C7D" w:rsidP="003F0C7D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</w:t>
      </w:r>
      <w:r>
        <w:rPr>
          <w:rFonts w:asciiTheme="majorHAnsi" w:hAnsiTheme="majorHAnsi" w:cstheme="majorHAnsi"/>
          <w:lang w:val="en-AU"/>
        </w:rPr>
        <w:t>he One Woman Project is committed to:</w:t>
      </w:r>
    </w:p>
    <w:p w14:paraId="66350599" w14:textId="77777777" w:rsidR="003F0C7D" w:rsidRDefault="003F0C7D" w:rsidP="003F0C7D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1B24A649" w14:textId="1B2CEEBF" w:rsidR="003F0C7D" w:rsidRDefault="003F0C7D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Understanding and working within the framework of the social model of disability; </w:t>
      </w:r>
    </w:p>
    <w:p w14:paraId="25CFCA83" w14:textId="53BBF253" w:rsidR="003F0C7D" w:rsidRDefault="003F0C7D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Engaging in </w:t>
      </w:r>
      <w:hyperlink r:id="rId11" w:history="1">
        <w:r w:rsidRPr="00953600">
          <w:rPr>
            <w:rStyle w:val="Hyperlink"/>
            <w:rFonts w:asciiTheme="majorHAnsi" w:hAnsiTheme="majorHAnsi" w:cstheme="majorHAnsi"/>
            <w:lang w:val="en-AU"/>
          </w:rPr>
          <w:t>person-centred and person-first language around disability</w:t>
        </w:r>
      </w:hyperlink>
      <w:r>
        <w:rPr>
          <w:rFonts w:asciiTheme="majorHAnsi" w:hAnsiTheme="majorHAnsi" w:cstheme="majorHAnsi"/>
          <w:lang w:val="en-AU"/>
        </w:rPr>
        <w:t xml:space="preserve"> (except when identity-first language is requested and/or preferred by the individual); </w:t>
      </w:r>
    </w:p>
    <w:p w14:paraId="11B877D5" w14:textId="101F5E92" w:rsidR="003F0C7D" w:rsidRDefault="003A169B" w:rsidP="003F0C7D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Ensuring our website includes:</w:t>
      </w:r>
    </w:p>
    <w:p w14:paraId="1E7BCE39" w14:textId="002B8A66" w:rsidR="003A169B" w:rsidRDefault="003A169B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Text descriptions for all images; </w:t>
      </w:r>
    </w:p>
    <w:p w14:paraId="21692666" w14:textId="5E8764C3" w:rsidR="003A169B" w:rsidRDefault="003A169B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Text descriptions for images containing words, phrases and text; </w:t>
      </w:r>
    </w:p>
    <w:p w14:paraId="0B316CE7" w14:textId="6D18B480" w:rsidR="003A169B" w:rsidRDefault="003A169B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Large buttons and increased spaces between buttons for people of low vision or challenges with mobility; </w:t>
      </w:r>
    </w:p>
    <w:p w14:paraId="67D1782D" w14:textId="20ED15CB" w:rsidR="003A169B" w:rsidRDefault="003A169B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A logical heading structure to aid in navigation; </w:t>
      </w:r>
    </w:p>
    <w:p w14:paraId="4269DEA5" w14:textId="2173B73A" w:rsidR="003A169B" w:rsidRDefault="003A169B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Accessibility by keyboard (in addition to mouse-led interaction); </w:t>
      </w:r>
    </w:p>
    <w:p w14:paraId="6F48F174" w14:textId="41ECBB17" w:rsidR="004B29F9" w:rsidRDefault="004B29F9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Link text that is properly descriptive; </w:t>
      </w:r>
    </w:p>
    <w:p w14:paraId="31D232BB" w14:textId="22B74B9C" w:rsidR="004B29F9" w:rsidRDefault="004B29F9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Word document and PDF versions for all uploaded resources; </w:t>
      </w:r>
    </w:p>
    <w:p w14:paraId="6CDC56E4" w14:textId="7F662794" w:rsidR="004B29F9" w:rsidRPr="00953600" w:rsidRDefault="004B29F9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No background audio; </w:t>
      </w:r>
    </w:p>
    <w:p w14:paraId="0D0944E4" w14:textId="5E3C87D1" w:rsidR="00197231" w:rsidRPr="00953600" w:rsidRDefault="00197231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Data tables with header cells marked appropriately; </w:t>
      </w:r>
    </w:p>
    <w:p w14:paraId="533332CB" w14:textId="0B0828CE" w:rsidR="00197231" w:rsidRPr="00953600" w:rsidRDefault="00197231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Forms which have a logical structure and proper </w:t>
      </w:r>
      <w:proofErr w:type="spellStart"/>
      <w:r w:rsidRPr="00953600">
        <w:rPr>
          <w:rFonts w:asciiTheme="majorHAnsi" w:hAnsiTheme="majorHAnsi" w:cstheme="majorHAnsi"/>
          <w:lang w:val="en-AU"/>
        </w:rPr>
        <w:t>markup</w:t>
      </w:r>
      <w:proofErr w:type="spellEnd"/>
      <w:r w:rsidRPr="00953600">
        <w:rPr>
          <w:rFonts w:asciiTheme="majorHAnsi" w:hAnsiTheme="majorHAnsi" w:cstheme="majorHAnsi"/>
          <w:lang w:val="en-AU"/>
        </w:rPr>
        <w:t xml:space="preserve">; </w:t>
      </w:r>
    </w:p>
    <w:p w14:paraId="53122F4A" w14:textId="4FD507A5" w:rsidR="00197231" w:rsidRDefault="002E6CDD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True headings and consistent heading hierarchy; </w:t>
      </w:r>
    </w:p>
    <w:p w14:paraId="3A932FCA" w14:textId="22669E44" w:rsidR="00F60638" w:rsidRDefault="00F60638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Links to documents include the file type and document size; </w:t>
      </w:r>
    </w:p>
    <w:p w14:paraId="55D26AB2" w14:textId="38177944" w:rsidR="002B445B" w:rsidRPr="00953600" w:rsidRDefault="002B445B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More than one way to find information (search/sitemap/navigation); </w:t>
      </w:r>
    </w:p>
    <w:p w14:paraId="12CF07B3" w14:textId="359A3866" w:rsidR="002E6CDD" w:rsidRPr="00953600" w:rsidRDefault="00953600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>Ensure readability through:</w:t>
      </w:r>
    </w:p>
    <w:p w14:paraId="7872823C" w14:textId="360F0EAE" w:rsidR="00953600" w:rsidRPr="00953600" w:rsidRDefault="00953600" w:rsidP="00953600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Clear, simple, inclusive language aimed at the intended audience; </w:t>
      </w:r>
    </w:p>
    <w:p w14:paraId="7AB2FD0D" w14:textId="34922A83" w:rsidR="00953600" w:rsidRPr="00953600" w:rsidRDefault="00953600" w:rsidP="00953600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lastRenderedPageBreak/>
        <w:t xml:space="preserve">Left-aligned or justified text; </w:t>
      </w:r>
    </w:p>
    <w:p w14:paraId="6675BC4E" w14:textId="02D61952" w:rsidR="00953600" w:rsidRPr="00953600" w:rsidRDefault="00953600" w:rsidP="00953600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Sans serif fonts (such as Arial or Veranda); </w:t>
      </w:r>
    </w:p>
    <w:p w14:paraId="6A960680" w14:textId="08F3E858" w:rsidR="00953600" w:rsidRPr="00953600" w:rsidRDefault="00953600" w:rsidP="00953600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Real text, not images of text; </w:t>
      </w:r>
    </w:p>
    <w:p w14:paraId="1025405A" w14:textId="41B3290D" w:rsidR="00953600" w:rsidRPr="00953600" w:rsidRDefault="00953600" w:rsidP="00953600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Expand acronyms on first use; </w:t>
      </w:r>
    </w:p>
    <w:p w14:paraId="113A9DDC" w14:textId="3FBFDE01" w:rsidR="00953600" w:rsidRPr="00953600" w:rsidRDefault="00953600" w:rsidP="00953600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Avoid excessive use of bold, capitals, </w:t>
      </w:r>
      <w:proofErr w:type="spellStart"/>
      <w:r w:rsidRPr="00953600">
        <w:rPr>
          <w:rFonts w:asciiTheme="majorHAnsi" w:hAnsiTheme="majorHAnsi" w:cstheme="majorHAnsi"/>
          <w:lang w:val="en-AU"/>
        </w:rPr>
        <w:t>itallics</w:t>
      </w:r>
      <w:proofErr w:type="spellEnd"/>
      <w:r w:rsidRPr="00953600">
        <w:rPr>
          <w:rFonts w:asciiTheme="majorHAnsi" w:hAnsiTheme="majorHAnsi" w:cstheme="majorHAnsi"/>
          <w:lang w:val="en-AU"/>
        </w:rPr>
        <w:t xml:space="preserve"> and underlines; </w:t>
      </w:r>
    </w:p>
    <w:p w14:paraId="3EB4A049" w14:textId="4B16CD66" w:rsidR="00953600" w:rsidRPr="00953600" w:rsidRDefault="00953600" w:rsidP="00953600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Avoid very small font sizes; </w:t>
      </w:r>
      <w:r w:rsidR="008F7BEC">
        <w:rPr>
          <w:rFonts w:asciiTheme="majorHAnsi" w:hAnsiTheme="majorHAnsi" w:cstheme="majorHAnsi"/>
          <w:lang w:val="en-AU"/>
        </w:rPr>
        <w:t>and</w:t>
      </w:r>
    </w:p>
    <w:p w14:paraId="1DC358C4" w14:textId="50634527" w:rsidR="00953600" w:rsidRPr="00953600" w:rsidRDefault="00953600" w:rsidP="00953600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Links should be underlined and in a colour that stands out; </w:t>
      </w:r>
    </w:p>
    <w:p w14:paraId="0B60CCC0" w14:textId="17D4D103" w:rsidR="00953600" w:rsidRPr="00953600" w:rsidRDefault="00953600" w:rsidP="00953600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 w:rsidRPr="00953600">
        <w:rPr>
          <w:rFonts w:asciiTheme="majorHAnsi" w:hAnsiTheme="majorHAnsi" w:cstheme="majorHAnsi"/>
          <w:lang w:val="en-AU"/>
        </w:rPr>
        <w:t xml:space="preserve">Content reviewed and revised under </w:t>
      </w:r>
      <w:hyperlink r:id="rId12" w:tgtFrame="_blank" w:history="1">
        <w:r w:rsidRPr="00953600">
          <w:rPr>
            <w:rStyle w:val="Hyperlink"/>
            <w:rFonts w:asciiTheme="majorHAnsi" w:hAnsiTheme="majorHAnsi" w:cstheme="majorHAnsi"/>
            <w:color w:val="1E678D"/>
            <w:shd w:val="clear" w:color="auto" w:fill="FFFFFF"/>
          </w:rPr>
          <w:t xml:space="preserve">Vision Australia’s </w:t>
        </w:r>
        <w:proofErr w:type="spellStart"/>
        <w:r w:rsidRPr="00953600">
          <w:rPr>
            <w:rStyle w:val="Hyperlink"/>
            <w:rFonts w:asciiTheme="majorHAnsi" w:hAnsiTheme="majorHAnsi" w:cstheme="majorHAnsi"/>
            <w:color w:val="1E678D"/>
            <w:shd w:val="clear" w:color="auto" w:fill="FFFFFF"/>
          </w:rPr>
          <w:t>Colour</w:t>
        </w:r>
        <w:proofErr w:type="spellEnd"/>
        <w:r w:rsidRPr="00953600">
          <w:rPr>
            <w:rStyle w:val="Hyperlink"/>
            <w:rFonts w:asciiTheme="majorHAnsi" w:hAnsiTheme="majorHAnsi" w:cstheme="majorHAnsi"/>
            <w:color w:val="1E678D"/>
            <w:shd w:val="clear" w:color="auto" w:fill="FFFFFF"/>
          </w:rPr>
          <w:t xml:space="preserve"> Contrast </w:t>
        </w:r>
        <w:proofErr w:type="spellStart"/>
        <w:r w:rsidRPr="00953600">
          <w:rPr>
            <w:rStyle w:val="Hyperlink"/>
            <w:rFonts w:asciiTheme="majorHAnsi" w:hAnsiTheme="majorHAnsi" w:cstheme="majorHAnsi"/>
            <w:color w:val="1E678D"/>
            <w:shd w:val="clear" w:color="auto" w:fill="FFFFFF"/>
          </w:rPr>
          <w:t>Analyser</w:t>
        </w:r>
        <w:proofErr w:type="spellEnd"/>
      </w:hyperlink>
      <w:r w:rsidRPr="00953600">
        <w:rPr>
          <w:rFonts w:asciiTheme="majorHAnsi" w:hAnsiTheme="majorHAnsi" w:cstheme="majorHAnsi"/>
        </w:rPr>
        <w:t xml:space="preserve">; </w:t>
      </w:r>
    </w:p>
    <w:p w14:paraId="32304AB1" w14:textId="546B248C" w:rsidR="003A169B" w:rsidRDefault="003A169B" w:rsidP="003A169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Ensuring all communications include:</w:t>
      </w:r>
    </w:p>
    <w:p w14:paraId="2D65F357" w14:textId="3494F672" w:rsidR="003A169B" w:rsidRDefault="003A169B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Video captions and transcripts; </w:t>
      </w:r>
    </w:p>
    <w:p w14:paraId="51BF4FF3" w14:textId="00FD1537" w:rsidR="003A169B" w:rsidRDefault="004B29F9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Where a video is posted, two versions are available – one with and one without background audio; </w:t>
      </w:r>
    </w:p>
    <w:p w14:paraId="692A7FB1" w14:textId="77777777" w:rsidR="008E086A" w:rsidRDefault="008E086A" w:rsidP="008E086A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Text descriptions for all images; </w:t>
      </w:r>
    </w:p>
    <w:p w14:paraId="1E718AEF" w14:textId="77777777" w:rsidR="008E086A" w:rsidRDefault="008E086A" w:rsidP="008E086A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Text descriptions for images containing words, phrases and text; </w:t>
      </w:r>
    </w:p>
    <w:p w14:paraId="082387E5" w14:textId="3A858064" w:rsidR="008E086A" w:rsidRDefault="008E086A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Link text that is properly descriptive;</w:t>
      </w:r>
    </w:p>
    <w:p w14:paraId="2E9B5977" w14:textId="675F204D" w:rsidR="008E086A" w:rsidRDefault="008E086A" w:rsidP="003A169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Capitalisation within hashtags; </w:t>
      </w:r>
      <w:r w:rsidR="008F7BEC">
        <w:rPr>
          <w:rFonts w:asciiTheme="majorHAnsi" w:hAnsiTheme="majorHAnsi" w:cstheme="majorHAnsi"/>
          <w:lang w:val="en-AU"/>
        </w:rPr>
        <w:t>and</w:t>
      </w:r>
    </w:p>
    <w:p w14:paraId="6851C6CB" w14:textId="5FF85C93" w:rsidR="008E086A" w:rsidRPr="008F7BEC" w:rsidRDefault="00197231" w:rsidP="008F7BEC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Data tables with hea</w:t>
      </w:r>
      <w:r w:rsidR="008F7BEC">
        <w:rPr>
          <w:rFonts w:asciiTheme="majorHAnsi" w:hAnsiTheme="majorHAnsi" w:cstheme="majorHAnsi"/>
          <w:lang w:val="en-AU"/>
        </w:rPr>
        <w:t xml:space="preserve">der cells marked appropriately. </w:t>
      </w:r>
    </w:p>
    <w:p w14:paraId="0B6A265B" w14:textId="14288617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0D5A90BC" w14:textId="666F352B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53579E4B" w14:textId="63607DC2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07C56581" w14:textId="3AD3BA2A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6799AEDA" w14:textId="0DD5D9FC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60184487" w14:textId="1E09E0C9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7C014E84" w14:textId="592E1371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57ACA8B2" w14:textId="15D09BEB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7EFA4562" w14:textId="6244B796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0143E06B" w14:textId="24052411" w:rsidR="00B26535" w:rsidRDefault="00B26535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</w:p>
    <w:p w14:paraId="54232311" w14:textId="1CD2028F" w:rsidR="005B597C" w:rsidRPr="00AE286A" w:rsidRDefault="005B597C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</w:p>
    <w:sectPr w:rsidR="005B597C" w:rsidRPr="00AE286A" w:rsidSect="004A57B0"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63FC2" w14:textId="77777777" w:rsidR="00EE453A" w:rsidRDefault="00EE453A" w:rsidP="00972405">
      <w:pPr>
        <w:spacing w:after="0" w:line="240" w:lineRule="auto"/>
      </w:pPr>
      <w:r>
        <w:separator/>
      </w:r>
    </w:p>
  </w:endnote>
  <w:endnote w:type="continuationSeparator" w:id="0">
    <w:p w14:paraId="64DDDF81" w14:textId="77777777" w:rsidR="00EE453A" w:rsidRDefault="00EE453A" w:rsidP="0097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 Light">
    <w:altName w:val="Akku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F891" w14:textId="77777777" w:rsidR="00EE453A" w:rsidRDefault="00EE453A" w:rsidP="00972405">
      <w:pPr>
        <w:spacing w:after="0" w:line="240" w:lineRule="auto"/>
      </w:pPr>
      <w:r>
        <w:separator/>
      </w:r>
    </w:p>
  </w:footnote>
  <w:footnote w:type="continuationSeparator" w:id="0">
    <w:p w14:paraId="395D86D0" w14:textId="77777777" w:rsidR="00EE453A" w:rsidRDefault="00EE453A" w:rsidP="0097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18B3" w14:textId="1764DD39" w:rsidR="008B6AA4" w:rsidRDefault="008B6AA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13878BC2" wp14:editId="7942A7AD">
          <wp:simplePos x="0" y="0"/>
          <wp:positionH relativeFrom="margin">
            <wp:posOffset>5543550</wp:posOffset>
          </wp:positionH>
          <wp:positionV relativeFrom="paragraph">
            <wp:posOffset>-162560</wp:posOffset>
          </wp:positionV>
          <wp:extent cx="939800" cy="939800"/>
          <wp:effectExtent l="0" t="0" r="0" b="0"/>
          <wp:wrapTight wrapText="bothSides">
            <wp:wrapPolygon edited="0">
              <wp:start x="3065" y="2627"/>
              <wp:lineTo x="1314" y="5692"/>
              <wp:lineTo x="1314" y="18389"/>
              <wp:lineTo x="10070" y="18389"/>
              <wp:lineTo x="19703" y="17514"/>
              <wp:lineTo x="19703" y="3503"/>
              <wp:lineTo x="7005" y="2627"/>
              <wp:lineTo x="3065" y="2627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851F" w14:textId="3617C1A2" w:rsidR="004A57B0" w:rsidRDefault="004A57B0" w:rsidP="00C20D81">
    <w:pPr>
      <w:pStyle w:val="Header"/>
      <w:tabs>
        <w:tab w:val="clear" w:pos="4680"/>
        <w:tab w:val="clear" w:pos="9360"/>
        <w:tab w:val="left" w:pos="6918"/>
      </w:tabs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387D958C" wp14:editId="486C4509">
          <wp:simplePos x="0" y="0"/>
          <wp:positionH relativeFrom="margin">
            <wp:posOffset>5537200</wp:posOffset>
          </wp:positionH>
          <wp:positionV relativeFrom="paragraph">
            <wp:posOffset>-254635</wp:posOffset>
          </wp:positionV>
          <wp:extent cx="939800" cy="939800"/>
          <wp:effectExtent l="0" t="0" r="0" b="0"/>
          <wp:wrapTight wrapText="bothSides">
            <wp:wrapPolygon edited="0">
              <wp:start x="3065" y="2627"/>
              <wp:lineTo x="1314" y="5692"/>
              <wp:lineTo x="1314" y="18389"/>
              <wp:lineTo x="10070" y="18389"/>
              <wp:lineTo x="19703" y="17514"/>
              <wp:lineTo x="19703" y="3503"/>
              <wp:lineTo x="7005" y="2627"/>
              <wp:lineTo x="3065" y="262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79BB607" w14:textId="77777777" w:rsidR="004A57B0" w:rsidRDefault="004A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494E58"/>
    <w:multiLevelType w:val="hybridMultilevel"/>
    <w:tmpl w:val="AC3E3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3CA6"/>
    <w:multiLevelType w:val="hybridMultilevel"/>
    <w:tmpl w:val="BD04B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26F69"/>
    <w:multiLevelType w:val="hybridMultilevel"/>
    <w:tmpl w:val="AA1A4774"/>
    <w:lvl w:ilvl="0" w:tplc="B2501A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32000ED"/>
    <w:multiLevelType w:val="hybridMultilevel"/>
    <w:tmpl w:val="7C868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724DC"/>
    <w:multiLevelType w:val="hybridMultilevel"/>
    <w:tmpl w:val="75B659F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EC07A8"/>
    <w:multiLevelType w:val="hybridMultilevel"/>
    <w:tmpl w:val="059EE13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EE3B75"/>
    <w:multiLevelType w:val="hybridMultilevel"/>
    <w:tmpl w:val="6ACC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E2EBF"/>
    <w:multiLevelType w:val="hybridMultilevel"/>
    <w:tmpl w:val="40127A5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A895B13"/>
    <w:multiLevelType w:val="hybridMultilevel"/>
    <w:tmpl w:val="4F6AF8C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C3660F"/>
    <w:multiLevelType w:val="hybridMultilevel"/>
    <w:tmpl w:val="1738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45FBA"/>
    <w:multiLevelType w:val="hybridMultilevel"/>
    <w:tmpl w:val="7C7C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7B06"/>
    <w:multiLevelType w:val="hybridMultilevel"/>
    <w:tmpl w:val="F65E015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EE23BF"/>
    <w:multiLevelType w:val="hybridMultilevel"/>
    <w:tmpl w:val="0254B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80340">
      <w:start w:val="7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0A68"/>
    <w:multiLevelType w:val="hybridMultilevel"/>
    <w:tmpl w:val="DB10A6B4"/>
    <w:lvl w:ilvl="0" w:tplc="443AD6EC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365E6BD7"/>
    <w:multiLevelType w:val="hybridMultilevel"/>
    <w:tmpl w:val="C86A1F9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A52388"/>
    <w:multiLevelType w:val="hybridMultilevel"/>
    <w:tmpl w:val="8FE2650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110687"/>
    <w:multiLevelType w:val="hybridMultilevel"/>
    <w:tmpl w:val="221613D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B3C0FEB"/>
    <w:multiLevelType w:val="hybridMultilevel"/>
    <w:tmpl w:val="CE92529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DC41C3E"/>
    <w:multiLevelType w:val="hybridMultilevel"/>
    <w:tmpl w:val="53CADDEA"/>
    <w:lvl w:ilvl="0" w:tplc="0C090017">
      <w:start w:val="1"/>
      <w:numFmt w:val="lowerLetter"/>
      <w:lvlText w:val="%1)"/>
      <w:lvlJc w:val="left"/>
      <w:pPr>
        <w:ind w:left="1160" w:hanging="360"/>
      </w:pPr>
    </w:lvl>
    <w:lvl w:ilvl="1" w:tplc="0C090019" w:tentative="1">
      <w:start w:val="1"/>
      <w:numFmt w:val="lowerLetter"/>
      <w:lvlText w:val="%2."/>
      <w:lvlJc w:val="left"/>
      <w:pPr>
        <w:ind w:left="1880" w:hanging="360"/>
      </w:pPr>
    </w:lvl>
    <w:lvl w:ilvl="2" w:tplc="0C09001B" w:tentative="1">
      <w:start w:val="1"/>
      <w:numFmt w:val="lowerRoman"/>
      <w:lvlText w:val="%3."/>
      <w:lvlJc w:val="right"/>
      <w:pPr>
        <w:ind w:left="2600" w:hanging="180"/>
      </w:pPr>
    </w:lvl>
    <w:lvl w:ilvl="3" w:tplc="0C09000F" w:tentative="1">
      <w:start w:val="1"/>
      <w:numFmt w:val="decimal"/>
      <w:lvlText w:val="%4."/>
      <w:lvlJc w:val="left"/>
      <w:pPr>
        <w:ind w:left="3320" w:hanging="360"/>
      </w:pPr>
    </w:lvl>
    <w:lvl w:ilvl="4" w:tplc="0C090019" w:tentative="1">
      <w:start w:val="1"/>
      <w:numFmt w:val="lowerLetter"/>
      <w:lvlText w:val="%5."/>
      <w:lvlJc w:val="left"/>
      <w:pPr>
        <w:ind w:left="4040" w:hanging="360"/>
      </w:pPr>
    </w:lvl>
    <w:lvl w:ilvl="5" w:tplc="0C09001B" w:tentative="1">
      <w:start w:val="1"/>
      <w:numFmt w:val="lowerRoman"/>
      <w:lvlText w:val="%6."/>
      <w:lvlJc w:val="right"/>
      <w:pPr>
        <w:ind w:left="4760" w:hanging="180"/>
      </w:pPr>
    </w:lvl>
    <w:lvl w:ilvl="6" w:tplc="0C09000F" w:tentative="1">
      <w:start w:val="1"/>
      <w:numFmt w:val="decimal"/>
      <w:lvlText w:val="%7."/>
      <w:lvlJc w:val="left"/>
      <w:pPr>
        <w:ind w:left="5480" w:hanging="360"/>
      </w:pPr>
    </w:lvl>
    <w:lvl w:ilvl="7" w:tplc="0C090019" w:tentative="1">
      <w:start w:val="1"/>
      <w:numFmt w:val="lowerLetter"/>
      <w:lvlText w:val="%8."/>
      <w:lvlJc w:val="left"/>
      <w:pPr>
        <w:ind w:left="6200" w:hanging="360"/>
      </w:pPr>
    </w:lvl>
    <w:lvl w:ilvl="8" w:tplc="0C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 w15:restartNumberingAfterBreak="0">
    <w:nsid w:val="50CA08BF"/>
    <w:multiLevelType w:val="hybridMultilevel"/>
    <w:tmpl w:val="7C8C756E"/>
    <w:lvl w:ilvl="0" w:tplc="9F889828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55A55D2C"/>
    <w:multiLevelType w:val="hybridMultilevel"/>
    <w:tmpl w:val="3B660096"/>
    <w:lvl w:ilvl="0" w:tplc="129423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461B"/>
    <w:multiLevelType w:val="hybridMultilevel"/>
    <w:tmpl w:val="873A2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5510"/>
    <w:multiLevelType w:val="hybridMultilevel"/>
    <w:tmpl w:val="856C0174"/>
    <w:lvl w:ilvl="0" w:tplc="B2501A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5A384DE8"/>
    <w:multiLevelType w:val="hybridMultilevel"/>
    <w:tmpl w:val="2DC41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55D3B"/>
    <w:multiLevelType w:val="hybridMultilevel"/>
    <w:tmpl w:val="B3E0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E051D"/>
    <w:multiLevelType w:val="hybridMultilevel"/>
    <w:tmpl w:val="B9C44D3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511DA2"/>
    <w:multiLevelType w:val="hybridMultilevel"/>
    <w:tmpl w:val="EB7A6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E4536"/>
    <w:multiLevelType w:val="hybridMultilevel"/>
    <w:tmpl w:val="B4D287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A47A2"/>
    <w:multiLevelType w:val="hybridMultilevel"/>
    <w:tmpl w:val="CF78D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604D"/>
    <w:multiLevelType w:val="hybridMultilevel"/>
    <w:tmpl w:val="658C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C1AB7"/>
    <w:multiLevelType w:val="hybridMultilevel"/>
    <w:tmpl w:val="13A6281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6C24E08"/>
    <w:multiLevelType w:val="hybridMultilevel"/>
    <w:tmpl w:val="AEC67F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E01A3"/>
    <w:multiLevelType w:val="hybridMultilevel"/>
    <w:tmpl w:val="15EC4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12"/>
  </w:num>
  <w:num w:numId="5">
    <w:abstractNumId w:val="18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25"/>
  </w:num>
  <w:num w:numId="16">
    <w:abstractNumId w:val="15"/>
  </w:num>
  <w:num w:numId="17">
    <w:abstractNumId w:val="24"/>
  </w:num>
  <w:num w:numId="18">
    <w:abstractNumId w:val="5"/>
  </w:num>
  <w:num w:numId="19">
    <w:abstractNumId w:val="22"/>
  </w:num>
  <w:num w:numId="20">
    <w:abstractNumId w:val="2"/>
  </w:num>
  <w:num w:numId="21">
    <w:abstractNumId w:val="23"/>
  </w:num>
  <w:num w:numId="22">
    <w:abstractNumId w:val="31"/>
  </w:num>
  <w:num w:numId="23">
    <w:abstractNumId w:val="27"/>
  </w:num>
  <w:num w:numId="24">
    <w:abstractNumId w:val="21"/>
  </w:num>
  <w:num w:numId="25">
    <w:abstractNumId w:val="1"/>
  </w:num>
  <w:num w:numId="26">
    <w:abstractNumId w:val="28"/>
  </w:num>
  <w:num w:numId="27">
    <w:abstractNumId w:val="20"/>
  </w:num>
  <w:num w:numId="28">
    <w:abstractNumId w:val="10"/>
  </w:num>
  <w:num w:numId="29">
    <w:abstractNumId w:val="29"/>
  </w:num>
  <w:num w:numId="30">
    <w:abstractNumId w:val="9"/>
  </w:num>
  <w:num w:numId="31">
    <w:abstractNumId w:val="26"/>
  </w:num>
  <w:num w:numId="32">
    <w:abstractNumId w:val="32"/>
  </w:num>
  <w:num w:numId="3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5"/>
    <w:rsid w:val="00000F3E"/>
    <w:rsid w:val="00026DB0"/>
    <w:rsid w:val="000323B6"/>
    <w:rsid w:val="0003253E"/>
    <w:rsid w:val="00053958"/>
    <w:rsid w:val="00054AB2"/>
    <w:rsid w:val="0007183C"/>
    <w:rsid w:val="000A2153"/>
    <w:rsid w:val="000B0BA7"/>
    <w:rsid w:val="000B2109"/>
    <w:rsid w:val="000C050A"/>
    <w:rsid w:val="000C7C6E"/>
    <w:rsid w:val="000D0EF0"/>
    <w:rsid w:val="000D2F72"/>
    <w:rsid w:val="000D7C7A"/>
    <w:rsid w:val="001465D5"/>
    <w:rsid w:val="00146F8A"/>
    <w:rsid w:val="001512FE"/>
    <w:rsid w:val="00156AC7"/>
    <w:rsid w:val="001847EC"/>
    <w:rsid w:val="00197231"/>
    <w:rsid w:val="001A5A6F"/>
    <w:rsid w:val="001B02E8"/>
    <w:rsid w:val="00201B0D"/>
    <w:rsid w:val="002042FB"/>
    <w:rsid w:val="002061D8"/>
    <w:rsid w:val="00210A7A"/>
    <w:rsid w:val="00233ED9"/>
    <w:rsid w:val="0025223B"/>
    <w:rsid w:val="00267BE4"/>
    <w:rsid w:val="002930BE"/>
    <w:rsid w:val="002A3DF7"/>
    <w:rsid w:val="002A53E2"/>
    <w:rsid w:val="002B03FC"/>
    <w:rsid w:val="002B445B"/>
    <w:rsid w:val="002C160D"/>
    <w:rsid w:val="002D6A6D"/>
    <w:rsid w:val="002E6CDD"/>
    <w:rsid w:val="00300D4E"/>
    <w:rsid w:val="00304CF4"/>
    <w:rsid w:val="00325E72"/>
    <w:rsid w:val="00352E82"/>
    <w:rsid w:val="003578C3"/>
    <w:rsid w:val="00372D14"/>
    <w:rsid w:val="0038178D"/>
    <w:rsid w:val="003A169B"/>
    <w:rsid w:val="003A3E7C"/>
    <w:rsid w:val="003A4868"/>
    <w:rsid w:val="003E6F61"/>
    <w:rsid w:val="003F0C7D"/>
    <w:rsid w:val="00420492"/>
    <w:rsid w:val="00421EA6"/>
    <w:rsid w:val="004301EF"/>
    <w:rsid w:val="004502A6"/>
    <w:rsid w:val="00450BEC"/>
    <w:rsid w:val="0045629E"/>
    <w:rsid w:val="0045662D"/>
    <w:rsid w:val="004802C4"/>
    <w:rsid w:val="004A57B0"/>
    <w:rsid w:val="004B29F9"/>
    <w:rsid w:val="004B4EE6"/>
    <w:rsid w:val="004B7954"/>
    <w:rsid w:val="004C63FC"/>
    <w:rsid w:val="004D639D"/>
    <w:rsid w:val="00505A99"/>
    <w:rsid w:val="00514C7A"/>
    <w:rsid w:val="0055088D"/>
    <w:rsid w:val="00570142"/>
    <w:rsid w:val="00586D22"/>
    <w:rsid w:val="005A48F5"/>
    <w:rsid w:val="005A7635"/>
    <w:rsid w:val="005B0819"/>
    <w:rsid w:val="005B597C"/>
    <w:rsid w:val="005C5B80"/>
    <w:rsid w:val="005C6147"/>
    <w:rsid w:val="005D7934"/>
    <w:rsid w:val="0060353E"/>
    <w:rsid w:val="00614CB0"/>
    <w:rsid w:val="00630938"/>
    <w:rsid w:val="00646D51"/>
    <w:rsid w:val="00647414"/>
    <w:rsid w:val="0067372C"/>
    <w:rsid w:val="006862D5"/>
    <w:rsid w:val="006E3CAA"/>
    <w:rsid w:val="00706EE6"/>
    <w:rsid w:val="00753F50"/>
    <w:rsid w:val="00780D0F"/>
    <w:rsid w:val="00786B23"/>
    <w:rsid w:val="007918BC"/>
    <w:rsid w:val="007949DF"/>
    <w:rsid w:val="00795C2A"/>
    <w:rsid w:val="007A5B20"/>
    <w:rsid w:val="007B33D2"/>
    <w:rsid w:val="007C5A2B"/>
    <w:rsid w:val="00813B82"/>
    <w:rsid w:val="008226F4"/>
    <w:rsid w:val="00873558"/>
    <w:rsid w:val="00876F4B"/>
    <w:rsid w:val="00897027"/>
    <w:rsid w:val="008B69A4"/>
    <w:rsid w:val="008B6AA4"/>
    <w:rsid w:val="008C0AB5"/>
    <w:rsid w:val="008D2605"/>
    <w:rsid w:val="008E086A"/>
    <w:rsid w:val="008F6422"/>
    <w:rsid w:val="008F7BEC"/>
    <w:rsid w:val="009118FB"/>
    <w:rsid w:val="0092108A"/>
    <w:rsid w:val="00937E41"/>
    <w:rsid w:val="00953600"/>
    <w:rsid w:val="00972405"/>
    <w:rsid w:val="00986B9C"/>
    <w:rsid w:val="009A23EB"/>
    <w:rsid w:val="009B56E9"/>
    <w:rsid w:val="009E602C"/>
    <w:rsid w:val="009F4F1C"/>
    <w:rsid w:val="00A01510"/>
    <w:rsid w:val="00A028EE"/>
    <w:rsid w:val="00A240B1"/>
    <w:rsid w:val="00A323C4"/>
    <w:rsid w:val="00A36917"/>
    <w:rsid w:val="00A5474D"/>
    <w:rsid w:val="00A54F94"/>
    <w:rsid w:val="00A852EE"/>
    <w:rsid w:val="00A861B5"/>
    <w:rsid w:val="00A86968"/>
    <w:rsid w:val="00A97C2C"/>
    <w:rsid w:val="00AA70EF"/>
    <w:rsid w:val="00AE286A"/>
    <w:rsid w:val="00AE2CA9"/>
    <w:rsid w:val="00B0521F"/>
    <w:rsid w:val="00B26535"/>
    <w:rsid w:val="00B65118"/>
    <w:rsid w:val="00B65D09"/>
    <w:rsid w:val="00B7714B"/>
    <w:rsid w:val="00B82523"/>
    <w:rsid w:val="00B924B5"/>
    <w:rsid w:val="00BA1CE8"/>
    <w:rsid w:val="00BC5BEE"/>
    <w:rsid w:val="00BC6F51"/>
    <w:rsid w:val="00BC7BB5"/>
    <w:rsid w:val="00BD1B6F"/>
    <w:rsid w:val="00C0288E"/>
    <w:rsid w:val="00C1189A"/>
    <w:rsid w:val="00C20D81"/>
    <w:rsid w:val="00C252DB"/>
    <w:rsid w:val="00C75520"/>
    <w:rsid w:val="00C80420"/>
    <w:rsid w:val="00C809CD"/>
    <w:rsid w:val="00D0218C"/>
    <w:rsid w:val="00D14EFB"/>
    <w:rsid w:val="00D21351"/>
    <w:rsid w:val="00D342EC"/>
    <w:rsid w:val="00D349D9"/>
    <w:rsid w:val="00D540D9"/>
    <w:rsid w:val="00D5567C"/>
    <w:rsid w:val="00D77311"/>
    <w:rsid w:val="00D9072E"/>
    <w:rsid w:val="00D941FD"/>
    <w:rsid w:val="00DA34ED"/>
    <w:rsid w:val="00DC3DA6"/>
    <w:rsid w:val="00DD4194"/>
    <w:rsid w:val="00DE5D54"/>
    <w:rsid w:val="00E01212"/>
    <w:rsid w:val="00E05E3C"/>
    <w:rsid w:val="00E073CB"/>
    <w:rsid w:val="00E15501"/>
    <w:rsid w:val="00E208A0"/>
    <w:rsid w:val="00E346D1"/>
    <w:rsid w:val="00E442E0"/>
    <w:rsid w:val="00E51D02"/>
    <w:rsid w:val="00E577A6"/>
    <w:rsid w:val="00E703C6"/>
    <w:rsid w:val="00EB01D4"/>
    <w:rsid w:val="00EB1B39"/>
    <w:rsid w:val="00EC21CE"/>
    <w:rsid w:val="00EC334E"/>
    <w:rsid w:val="00EE4478"/>
    <w:rsid w:val="00EE453A"/>
    <w:rsid w:val="00EF6F7E"/>
    <w:rsid w:val="00F01A60"/>
    <w:rsid w:val="00F133D9"/>
    <w:rsid w:val="00F158AA"/>
    <w:rsid w:val="00F17BA0"/>
    <w:rsid w:val="00F31472"/>
    <w:rsid w:val="00F52B49"/>
    <w:rsid w:val="00F600E0"/>
    <w:rsid w:val="00F60638"/>
    <w:rsid w:val="00F77F88"/>
    <w:rsid w:val="00F8481B"/>
    <w:rsid w:val="00F91C03"/>
    <w:rsid w:val="00FB2392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A57F"/>
  <w15:chartTrackingRefBased/>
  <w15:docId w15:val="{0DA206B7-6E13-4E49-ADFA-0A2DF6B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05"/>
  </w:style>
  <w:style w:type="paragraph" w:styleId="Footer">
    <w:name w:val="footer"/>
    <w:basedOn w:val="Normal"/>
    <w:link w:val="FooterChar"/>
    <w:uiPriority w:val="99"/>
    <w:unhideWhenUsed/>
    <w:rsid w:val="0097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05"/>
  </w:style>
  <w:style w:type="table" w:styleId="TableGrid">
    <w:name w:val="Table Grid"/>
    <w:basedOn w:val="TableNormal"/>
    <w:uiPriority w:val="39"/>
    <w:rsid w:val="000D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422"/>
    <w:pPr>
      <w:autoSpaceDE w:val="0"/>
      <w:autoSpaceDN w:val="0"/>
      <w:adjustRightInd w:val="0"/>
      <w:spacing w:after="0" w:line="240" w:lineRule="auto"/>
    </w:pPr>
    <w:rPr>
      <w:rFonts w:ascii="Akkurat Light" w:hAnsi="Akkurat Light" w:cs="Akkurat Light"/>
      <w:color w:val="000000"/>
      <w:sz w:val="24"/>
      <w:szCs w:val="24"/>
      <w:lang w:val="en-AU"/>
    </w:rPr>
  </w:style>
  <w:style w:type="paragraph" w:customStyle="1" w:styleId="Pa4">
    <w:name w:val="Pa4"/>
    <w:basedOn w:val="Default"/>
    <w:next w:val="Default"/>
    <w:uiPriority w:val="99"/>
    <w:rsid w:val="008F6422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8F6422"/>
    <w:pPr>
      <w:spacing w:line="22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8F6422"/>
    <w:rPr>
      <w:rFonts w:cs="Akkurat Light"/>
      <w:color w:val="555559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4A57B0"/>
    <w:pPr>
      <w:spacing w:line="20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4A57B0"/>
    <w:rPr>
      <w:rFonts w:ascii="Akkurat" w:hAnsi="Akkurat" w:cs="Akkurat"/>
      <w:b/>
      <w:bCs/>
      <w:color w:val="55555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sionaustralia.org/services/digital-access/resources/colour-contrast-analys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d.org.au/pages/inclusive-languag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75C75149A274DBA919F0048316370" ma:contentTypeVersion="11" ma:contentTypeDescription="Create a new document." ma:contentTypeScope="" ma:versionID="080484acd9e2e9293b2bb4559e588ffa">
  <xsd:schema xmlns:xsd="http://www.w3.org/2001/XMLSchema" xmlns:xs="http://www.w3.org/2001/XMLSchema" xmlns:p="http://schemas.microsoft.com/office/2006/metadata/properties" xmlns:ns2="328d4b61-2cf2-431e-a020-048c17620918" xmlns:ns3="2eefc61d-5916-44cf-8ea3-4f6d4716050e" targetNamespace="http://schemas.microsoft.com/office/2006/metadata/properties" ma:root="true" ma:fieldsID="13464d1b44deef9d753e8723d6d55e86" ns2:_="" ns3:_="">
    <xsd:import namespace="328d4b61-2cf2-431e-a020-048c17620918"/>
    <xsd:import namespace="2eefc61d-5916-44cf-8ea3-4f6d4716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4b61-2cf2-431e-a020-048c17620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c61d-5916-44cf-8ea3-4f6d4716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70ED-1B62-4A0E-8BBE-2A829F8EA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110F0-6EEE-47E4-A3A9-8D7562E39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9EE2C-188E-4029-88B9-44563551A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d4b61-2cf2-431e-a020-048c17620918"/>
    <ds:schemaRef ds:uri="2eefc61d-5916-44cf-8ea3-4f6d4716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Madeline Price</cp:lastModifiedBy>
  <cp:revision>157</cp:revision>
  <dcterms:created xsi:type="dcterms:W3CDTF">2018-12-17T04:57:00Z</dcterms:created>
  <dcterms:modified xsi:type="dcterms:W3CDTF">2020-12-03T05:28:00Z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0x0101008E975C75149A274DBA919F0048316370</vt:lpwstr>
  </property>
</Properties>
</file>